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5958D" w14:textId="18145CEB" w:rsidR="00962B84" w:rsidRPr="00621FC8" w:rsidRDefault="00FF7705" w:rsidP="00962B84">
      <w:pPr>
        <w:pStyle w:val="Tekstpodstawowy"/>
        <w:tabs>
          <w:tab w:val="left" w:pos="1418"/>
        </w:tabs>
        <w:rPr>
          <w:sz w:val="20"/>
        </w:rPr>
      </w:pPr>
      <w:r w:rsidRPr="00FF7705">
        <w:rPr>
          <w:noProof/>
          <w:sz w:val="20"/>
          <w:lang w:val="pl-PL" w:eastAsia="pl-PL" w:bidi="ar-SA"/>
        </w:rPr>
        <w:drawing>
          <wp:anchor distT="0" distB="0" distL="114300" distR="114300" simplePos="0" relativeHeight="251665408" behindDoc="1" locked="0" layoutInCell="1" allowOverlap="1" wp14:anchorId="7ADB2AED" wp14:editId="0A976C43">
            <wp:simplePos x="0" y="0"/>
            <wp:positionH relativeFrom="column">
              <wp:posOffset>3119120</wp:posOffset>
            </wp:positionH>
            <wp:positionV relativeFrom="paragraph">
              <wp:posOffset>0</wp:posOffset>
            </wp:positionV>
            <wp:extent cx="2552700" cy="1276350"/>
            <wp:effectExtent l="0" t="0" r="0" b="0"/>
            <wp:wrapTight wrapText="bothSides">
              <wp:wrapPolygon edited="0">
                <wp:start x="0" y="0"/>
                <wp:lineTo x="0" y="21278"/>
                <wp:lineTo x="21439" y="21278"/>
                <wp:lineTo x="21439" y="0"/>
                <wp:lineTo x="0" y="0"/>
              </wp:wrapPolygon>
            </wp:wrapTight>
            <wp:docPr id="9" name="Obraz 9" descr="C:\Users\ECK6\Desktop\LOGO_ECC-Net-NATIONAUX-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K6\Desktop\LOGO_ECC-Net-NATIONAUX-P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70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46F77F" w14:textId="6F4F30A9" w:rsidR="00962B84" w:rsidRPr="00621FC8" w:rsidRDefault="00962B84" w:rsidP="00962B84">
      <w:pPr>
        <w:pStyle w:val="Tekstpodstawowy"/>
        <w:rPr>
          <w:noProof/>
          <w:lang w:val="pl-PL" w:eastAsia="pl-PL" w:bidi="ar-SA"/>
        </w:rPr>
      </w:pPr>
    </w:p>
    <w:p w14:paraId="7D91A298" w14:textId="20926A53" w:rsidR="00962B84" w:rsidRPr="00621FC8" w:rsidRDefault="00962B84" w:rsidP="00962B84">
      <w:pPr>
        <w:pStyle w:val="Tekstpodstawowy"/>
        <w:rPr>
          <w:sz w:val="20"/>
        </w:rPr>
      </w:pPr>
    </w:p>
    <w:p w14:paraId="57178ACB" w14:textId="005709E0" w:rsidR="00962B84" w:rsidRPr="00621FC8" w:rsidRDefault="00962B84" w:rsidP="00962B84">
      <w:pPr>
        <w:spacing w:before="91"/>
        <w:ind w:left="1135"/>
        <w:rPr>
          <w:b/>
          <w:color w:val="005597"/>
          <w:sz w:val="28"/>
        </w:rPr>
      </w:pPr>
    </w:p>
    <w:p w14:paraId="3D34650A" w14:textId="77777777" w:rsidR="00962B84" w:rsidRPr="00621FC8" w:rsidRDefault="00962B84" w:rsidP="00962B84">
      <w:pPr>
        <w:pStyle w:val="Tekstpodstawowy"/>
        <w:rPr>
          <w:sz w:val="18"/>
          <w:lang w:val="pl-PL"/>
        </w:rPr>
      </w:pPr>
    </w:p>
    <w:p w14:paraId="1E14FB90" w14:textId="64397D0E" w:rsidR="00962B84" w:rsidRPr="00621FC8" w:rsidRDefault="00962B84" w:rsidP="00962B84">
      <w:pPr>
        <w:spacing w:before="91"/>
        <w:rPr>
          <w:b/>
          <w:sz w:val="28"/>
          <w:lang w:val="pl-PL"/>
        </w:rPr>
      </w:pPr>
      <w:r w:rsidRPr="00621FC8">
        <w:rPr>
          <w:b/>
          <w:color w:val="005597"/>
          <w:sz w:val="28"/>
          <w:lang w:val="pl-PL"/>
        </w:rPr>
        <w:t>Informacja prasowa</w:t>
      </w:r>
      <w:r w:rsidRPr="00621FC8">
        <w:rPr>
          <w:b/>
          <w:sz w:val="28"/>
          <w:lang w:val="pl-PL"/>
        </w:rPr>
        <w:br/>
      </w:r>
    </w:p>
    <w:p w14:paraId="26038F5E" w14:textId="2AF9AAA5" w:rsidR="00962B84" w:rsidRPr="000931B8" w:rsidRDefault="004639CA" w:rsidP="00962B84">
      <w:pPr>
        <w:spacing w:before="91"/>
        <w:rPr>
          <w:b/>
          <w:sz w:val="28"/>
          <w:lang w:val="pl-PL"/>
        </w:rPr>
      </w:pPr>
      <w:r>
        <w:rPr>
          <w:color w:val="808080"/>
          <w:sz w:val="18"/>
          <w:lang w:val="pl-PL"/>
        </w:rPr>
        <w:t>2</w:t>
      </w:r>
      <w:r w:rsidR="00B20FC2">
        <w:rPr>
          <w:color w:val="808080"/>
          <w:sz w:val="18"/>
          <w:lang w:val="pl-PL"/>
        </w:rPr>
        <w:t>7</w:t>
      </w:r>
      <w:r w:rsidR="00EC4FEB">
        <w:rPr>
          <w:color w:val="808080"/>
          <w:sz w:val="18"/>
          <w:lang w:val="pl-PL"/>
        </w:rPr>
        <w:t>/0</w:t>
      </w:r>
      <w:r w:rsidR="00B20FC2">
        <w:rPr>
          <w:color w:val="808080"/>
          <w:sz w:val="18"/>
          <w:lang w:val="pl-PL"/>
        </w:rPr>
        <w:t>5</w:t>
      </w:r>
      <w:r w:rsidR="00EC4FEB">
        <w:rPr>
          <w:color w:val="808080"/>
          <w:sz w:val="18"/>
          <w:lang w:val="pl-PL"/>
        </w:rPr>
        <w:t>/2021</w:t>
      </w:r>
    </w:p>
    <w:p w14:paraId="719FCAA2" w14:textId="77777777" w:rsidR="00962B84" w:rsidRPr="000931B8" w:rsidRDefault="00962B84" w:rsidP="00962B84">
      <w:pPr>
        <w:rPr>
          <w:b/>
          <w:lang w:val="pl-PL"/>
        </w:rPr>
      </w:pPr>
    </w:p>
    <w:p w14:paraId="6D813D8A" w14:textId="683DABD4" w:rsidR="00342B24" w:rsidRDefault="00342B24" w:rsidP="00FE0912">
      <w:pPr>
        <w:pStyle w:val="Nagwek1"/>
        <w:spacing w:before="1"/>
        <w:ind w:left="0"/>
        <w:rPr>
          <w:color w:val="000000" w:themeColor="text1"/>
          <w:lang w:val="pl-PL"/>
        </w:rPr>
      </w:pPr>
    </w:p>
    <w:p w14:paraId="6FE9E552" w14:textId="77777777" w:rsidR="004639CA" w:rsidRDefault="004639CA" w:rsidP="004639CA">
      <w:pPr>
        <w:rPr>
          <w:b/>
          <w:color w:val="005698"/>
          <w:sz w:val="32"/>
          <w:szCs w:val="32"/>
          <w:lang w:val="pl-PL"/>
        </w:rPr>
      </w:pPr>
    </w:p>
    <w:p w14:paraId="58DD42E6" w14:textId="471446B8" w:rsidR="004639CA" w:rsidRPr="004639CA" w:rsidRDefault="004639CA" w:rsidP="004639CA">
      <w:pPr>
        <w:rPr>
          <w:b/>
          <w:color w:val="005698"/>
          <w:sz w:val="32"/>
          <w:szCs w:val="32"/>
          <w:lang w:val="pl-PL"/>
        </w:rPr>
      </w:pPr>
      <w:bookmarkStart w:id="0" w:name="_GoBack"/>
      <w:bookmarkEnd w:id="0"/>
      <w:r w:rsidRPr="004639CA">
        <w:rPr>
          <w:b/>
          <w:color w:val="005698"/>
          <w:sz w:val="32"/>
          <w:szCs w:val="32"/>
          <w:lang w:val="pl-PL"/>
        </w:rPr>
        <w:t>Konsumenckie badania genetyczne</w:t>
      </w:r>
    </w:p>
    <w:p w14:paraId="3B5C4686" w14:textId="77777777" w:rsidR="004639CA" w:rsidRDefault="004639CA" w:rsidP="004639CA">
      <w:pPr>
        <w:jc w:val="both"/>
        <w:rPr>
          <w:rFonts w:ascii="Calibri" w:hAnsi="Calibri" w:cs="Calibri"/>
          <w:b/>
          <w:lang w:val="pl-PL"/>
        </w:rPr>
      </w:pPr>
    </w:p>
    <w:p w14:paraId="5E0A5BC5" w14:textId="77777777" w:rsidR="004639CA" w:rsidRDefault="004639CA" w:rsidP="004639CA">
      <w:pPr>
        <w:pStyle w:val="Nagwek1"/>
        <w:spacing w:before="1" w:line="276" w:lineRule="auto"/>
        <w:ind w:left="0"/>
        <w:rPr>
          <w:sz w:val="22"/>
          <w:szCs w:val="22"/>
          <w:lang w:val="pl-PL"/>
        </w:rPr>
      </w:pPr>
      <w:r>
        <w:rPr>
          <w:sz w:val="22"/>
          <w:szCs w:val="22"/>
          <w:lang w:val="pl-PL"/>
        </w:rPr>
        <w:t>Aby odkryć pochodzenie etniczne, znaleźć członka rodziny lub poznać swoje predyspozycje do niektórych chorób genetycznych, miliony Europejczyków zamawiają testy DNA. Za pomocą prostej próbki śliny firmy mające siedzibę w Stanach Zjednoczonych, Izraelu lub Europie oferują badanie za mniej niż 100 €. Jak regulowane są te testy DNA w Europie? Jakie są ryzyko i konsekwencje testów „rekreacyjnych”? W obliczu żywego zainteresowania konsumentów Europejskie Centra Konsumenckie przygotowały raport o testach DNA sprzedawanych online.</w:t>
      </w:r>
    </w:p>
    <w:p w14:paraId="4E6F6D48" w14:textId="77777777" w:rsidR="004639CA" w:rsidRDefault="004639CA" w:rsidP="004639CA">
      <w:pPr>
        <w:jc w:val="both"/>
        <w:rPr>
          <w:b/>
          <w:lang w:val="pl-PL"/>
        </w:rPr>
      </w:pPr>
    </w:p>
    <w:p w14:paraId="23C03F65" w14:textId="77777777" w:rsidR="004639CA" w:rsidRDefault="004639CA" w:rsidP="004639CA">
      <w:pPr>
        <w:spacing w:line="276" w:lineRule="auto"/>
        <w:jc w:val="both"/>
        <w:rPr>
          <w:b/>
          <w:color w:val="005597"/>
          <w:lang w:val="pl-PL"/>
        </w:rPr>
      </w:pPr>
      <w:r>
        <w:rPr>
          <w:b/>
          <w:color w:val="005597"/>
          <w:lang w:val="pl-PL"/>
        </w:rPr>
        <w:t>Czy testy DNA są dozwolone w Europie?</w:t>
      </w:r>
    </w:p>
    <w:p w14:paraId="214CD02C" w14:textId="77777777" w:rsidR="004639CA" w:rsidRDefault="004639CA" w:rsidP="004639CA">
      <w:pPr>
        <w:spacing w:line="276" w:lineRule="auto"/>
        <w:jc w:val="both"/>
        <w:rPr>
          <w:lang w:val="pl-PL"/>
        </w:rPr>
      </w:pPr>
    </w:p>
    <w:p w14:paraId="1ADAF098" w14:textId="77777777" w:rsidR="004639CA" w:rsidRDefault="004639CA" w:rsidP="004639CA">
      <w:pPr>
        <w:spacing w:line="276" w:lineRule="auto"/>
        <w:jc w:val="both"/>
        <w:rPr>
          <w:lang w:val="pl-PL"/>
        </w:rPr>
      </w:pPr>
      <w:r>
        <w:rPr>
          <w:lang w:val="pl-PL"/>
        </w:rPr>
        <w:t>Nie istnieją obecnie europejskie przepisy dotyczące badań DNA. Rekreacyjne testy genetyczne oferowane online konsumentom są dozwolone w Polsce jak i w kilku krajach europejskich, takich jak Dania, Cypr, Finlandia, Niemcy, Włochy, Luksemburg lub Holandia, ale są zabronione w Portugalii i Francji.</w:t>
      </w:r>
    </w:p>
    <w:p w14:paraId="5C4CAB11" w14:textId="77777777" w:rsidR="004639CA" w:rsidRDefault="004639CA" w:rsidP="004639CA">
      <w:pPr>
        <w:spacing w:line="276" w:lineRule="auto"/>
        <w:jc w:val="both"/>
        <w:rPr>
          <w:lang w:val="pl-PL"/>
        </w:rPr>
      </w:pPr>
    </w:p>
    <w:p w14:paraId="044B9FB1" w14:textId="77777777" w:rsidR="004639CA" w:rsidRDefault="004639CA" w:rsidP="004639CA">
      <w:pPr>
        <w:spacing w:line="276" w:lineRule="auto"/>
        <w:jc w:val="both"/>
        <w:rPr>
          <w:b/>
          <w:color w:val="005597"/>
          <w:lang w:val="pl-PL"/>
        </w:rPr>
      </w:pPr>
      <w:r>
        <w:rPr>
          <w:b/>
          <w:color w:val="005597"/>
          <w:lang w:val="pl-PL"/>
        </w:rPr>
        <w:t>Jakie są ryzyko testów genetycznych sprzedawanych online?</w:t>
      </w:r>
    </w:p>
    <w:p w14:paraId="643A0E15" w14:textId="77777777" w:rsidR="004639CA" w:rsidRDefault="004639CA" w:rsidP="004639CA">
      <w:pPr>
        <w:spacing w:line="276" w:lineRule="auto"/>
        <w:jc w:val="both"/>
        <w:rPr>
          <w:lang w:val="pl-PL"/>
        </w:rPr>
      </w:pPr>
    </w:p>
    <w:p w14:paraId="223B3218" w14:textId="77777777" w:rsidR="004639CA" w:rsidRDefault="004639CA" w:rsidP="004639CA">
      <w:pPr>
        <w:spacing w:line="276" w:lineRule="auto"/>
        <w:jc w:val="both"/>
        <w:rPr>
          <w:lang w:val="pl-PL"/>
        </w:rPr>
      </w:pPr>
      <w:r>
        <w:rPr>
          <w:lang w:val="pl-PL"/>
        </w:rPr>
        <w:t>Decydując się na analizę swojego DNA, przekazujesz bardzo poufne informacje o sobie</w:t>
      </w:r>
      <w:r>
        <w:rPr>
          <w:lang w:val="pl-PL"/>
        </w:rPr>
        <w:br/>
        <w:t xml:space="preserve"> i swojej rodzinie. W Europie ogólne rozporządzenie o ochronie danych, które weszło </w:t>
      </w:r>
      <w:r>
        <w:rPr>
          <w:lang w:val="pl-PL"/>
        </w:rPr>
        <w:br/>
        <w:t>w życie w maju 2018 r., wyraźnie wprowadziło „dane biometryczne i genetyczne” jako dwie nowe kategorie chronionych danych osobowych. Dla konsumentów oznacza to, że mają prawo do informacji, modyfikacji, prawo dostępu i prawo do usunięcia swoich danych genetycznych. Firma przeprowadzająca badanie DNA musi między innymi uzyskać zgodę konsumenta na uzyskanie i przetwarzanie danych, poinformować o czasie przechowywania i zapewnić bezpieczne przechowywanie. Często zdarza się że wrażliwe dane są wysyłane poza UE.</w:t>
      </w:r>
    </w:p>
    <w:p w14:paraId="53FD7CDD" w14:textId="77777777" w:rsidR="004639CA" w:rsidRDefault="004639CA" w:rsidP="004639CA">
      <w:pPr>
        <w:spacing w:line="276" w:lineRule="auto"/>
        <w:jc w:val="both"/>
        <w:rPr>
          <w:lang w:val="pl-PL"/>
        </w:rPr>
      </w:pPr>
    </w:p>
    <w:p w14:paraId="3EAC0254" w14:textId="77777777" w:rsidR="004639CA" w:rsidRDefault="004639CA" w:rsidP="004639CA">
      <w:pPr>
        <w:spacing w:line="276" w:lineRule="auto"/>
        <w:jc w:val="both"/>
        <w:rPr>
          <w:lang w:val="pl-PL"/>
        </w:rPr>
      </w:pPr>
      <w:r>
        <w:rPr>
          <w:lang w:val="pl-PL"/>
        </w:rPr>
        <w:t>Interpretacja testu genetycznego w celu ustalenia predyspozycji danej osoby do pewnych dziedzicznych chorób zawsze opiera się na aktualnym stanie wiedzy medycznej i genetycznej, a te stale się rozwijają. Zmieniają się również sposoby diagnozowania chorób przez lekarzy i predyspozycje pacjentów. Wyniki takich testów genetycznych powinny być zatem uważane za ważne tylko i wyłącznie w momencie ich ukończenia. Ponadto naukowcy coraz częściej podkreślają, że na ujawnienie się konkretnych genów ma wpływ styl życia, metabolizm, środowisko danej osoby. Co więcej posiadanie mutacji jakiegoś genu nie oznacza, że zmutowany gen się ujawni lub że inne geny nie zrekompensują jego mutacji.</w:t>
      </w:r>
    </w:p>
    <w:p w14:paraId="67E21466" w14:textId="77777777" w:rsidR="004639CA" w:rsidRDefault="004639CA" w:rsidP="004639CA">
      <w:pPr>
        <w:spacing w:line="276" w:lineRule="auto"/>
        <w:jc w:val="both"/>
        <w:rPr>
          <w:lang w:val="pl-PL"/>
        </w:rPr>
      </w:pPr>
    </w:p>
    <w:p w14:paraId="67357C9F" w14:textId="77777777" w:rsidR="004639CA" w:rsidRDefault="004639CA" w:rsidP="004639CA">
      <w:pPr>
        <w:spacing w:line="276" w:lineRule="auto"/>
        <w:jc w:val="both"/>
        <w:rPr>
          <w:lang w:val="pl-PL"/>
        </w:rPr>
      </w:pPr>
      <w:r>
        <w:rPr>
          <w:lang w:val="pl-PL"/>
        </w:rPr>
        <w:t xml:space="preserve">Z powyższego wynika, że internetowe testy mogą dawać mało wiarygodne wyniki. Co więcej, mogą też wystąpić stres lub inne konsekwencje psychologiczne, jeśli wyniki testu genetycznego ujawnią tajemnicę rodzinną, taką jak brak ojcostwa, czy poważne ryzyko zachorowania. Jest to paradoks takich „rekreacyjnych” produktów opartych na </w:t>
      </w:r>
      <w:r>
        <w:rPr>
          <w:lang w:val="pl-PL"/>
        </w:rPr>
        <w:lastRenderedPageBreak/>
        <w:t>nieograniczonym „prawie do wiedzy”. Pa</w:t>
      </w:r>
      <w:r>
        <w:rPr>
          <w:rFonts w:eastAsia="Times New Roman"/>
          <w:color w:val="222222"/>
          <w:sz w:val="23"/>
          <w:szCs w:val="23"/>
          <w:lang w:val="pl-PL" w:eastAsia="pl-PL" w:bidi="ar-SA"/>
        </w:rPr>
        <w:t>miętajmy większość informacji jest czysto spekulatywna i nie należy takich raportów traktować jako badania medycznego.</w:t>
      </w:r>
      <w:r>
        <w:rPr>
          <w:lang w:val="pl-PL"/>
        </w:rPr>
        <w:t xml:space="preserve"> </w:t>
      </w:r>
      <w:r>
        <w:rPr>
          <w:color w:val="323232"/>
          <w:shd w:val="clear" w:color="auto" w:fill="FFFFFF"/>
          <w:lang w:val="pl-PL"/>
        </w:rPr>
        <w:t>Badania genetyczne należy wykonywać w certyfikowanych ośrodkach zatrudniających doświadczonych specjalistów z zakresu laboratoryjnej genetyki medycznej oraz lekarzy – genetyków klinicznych.</w:t>
      </w:r>
    </w:p>
    <w:p w14:paraId="09FACB5D" w14:textId="77777777" w:rsidR="004639CA" w:rsidRDefault="004639CA" w:rsidP="004639CA">
      <w:pPr>
        <w:spacing w:line="276" w:lineRule="auto"/>
        <w:jc w:val="both"/>
        <w:rPr>
          <w:color w:val="323232"/>
          <w:shd w:val="clear" w:color="auto" w:fill="FFFFFF"/>
          <w:lang w:val="pl-PL"/>
        </w:rPr>
      </w:pPr>
    </w:p>
    <w:p w14:paraId="75585BF7" w14:textId="77777777" w:rsidR="004639CA" w:rsidRDefault="004639CA" w:rsidP="004639CA">
      <w:pPr>
        <w:spacing w:line="276" w:lineRule="auto"/>
        <w:jc w:val="both"/>
        <w:rPr>
          <w:b/>
          <w:color w:val="005597"/>
          <w:lang w:val="en-GB"/>
        </w:rPr>
      </w:pPr>
      <w:proofErr w:type="spellStart"/>
      <w:r>
        <w:rPr>
          <w:b/>
          <w:color w:val="005597"/>
          <w:lang w:val="en-GB"/>
        </w:rPr>
        <w:t>Praktyczne</w:t>
      </w:r>
      <w:proofErr w:type="spellEnd"/>
      <w:r>
        <w:rPr>
          <w:b/>
          <w:color w:val="005597"/>
          <w:lang w:val="en-GB"/>
        </w:rPr>
        <w:t xml:space="preserve"> </w:t>
      </w:r>
      <w:proofErr w:type="spellStart"/>
      <w:r>
        <w:rPr>
          <w:b/>
          <w:color w:val="005597"/>
          <w:lang w:val="en-GB"/>
        </w:rPr>
        <w:t>wskazówki</w:t>
      </w:r>
      <w:proofErr w:type="spellEnd"/>
      <w:r>
        <w:rPr>
          <w:b/>
          <w:color w:val="005597"/>
          <w:lang w:val="en-GB"/>
        </w:rPr>
        <w:t xml:space="preserve"> </w:t>
      </w:r>
      <w:proofErr w:type="spellStart"/>
      <w:r>
        <w:rPr>
          <w:b/>
          <w:color w:val="005597"/>
          <w:lang w:val="en-GB"/>
        </w:rPr>
        <w:t>dla</w:t>
      </w:r>
      <w:proofErr w:type="spellEnd"/>
      <w:r>
        <w:rPr>
          <w:b/>
          <w:color w:val="005597"/>
          <w:lang w:val="en-GB"/>
        </w:rPr>
        <w:t xml:space="preserve"> </w:t>
      </w:r>
      <w:proofErr w:type="spellStart"/>
      <w:r>
        <w:rPr>
          <w:b/>
          <w:color w:val="005597"/>
          <w:lang w:val="en-GB"/>
        </w:rPr>
        <w:t>konsumentów</w:t>
      </w:r>
      <w:proofErr w:type="spellEnd"/>
    </w:p>
    <w:p w14:paraId="59CD00E0" w14:textId="77777777" w:rsidR="004639CA" w:rsidRDefault="004639CA" w:rsidP="004639CA">
      <w:pPr>
        <w:spacing w:line="276" w:lineRule="auto"/>
        <w:jc w:val="both"/>
        <w:rPr>
          <w:lang w:val="en-GB"/>
        </w:rPr>
      </w:pPr>
    </w:p>
    <w:p w14:paraId="28A76BD1" w14:textId="77777777" w:rsidR="004639CA" w:rsidRDefault="004639CA" w:rsidP="004639CA">
      <w:pPr>
        <w:pStyle w:val="Akapitzlist"/>
        <w:numPr>
          <w:ilvl w:val="0"/>
          <w:numId w:val="22"/>
        </w:numPr>
        <w:contextualSpacing w:val="0"/>
        <w:rPr>
          <w:rFonts w:eastAsia="Times New Roman"/>
          <w:color w:val="222222"/>
          <w:sz w:val="23"/>
          <w:szCs w:val="23"/>
          <w:lang w:val="pl-PL" w:eastAsia="pl-PL" w:bidi="ar-SA"/>
        </w:rPr>
      </w:pPr>
      <w:r>
        <w:rPr>
          <w:rFonts w:eastAsia="Times New Roman"/>
          <w:color w:val="222222"/>
          <w:sz w:val="23"/>
          <w:szCs w:val="23"/>
          <w:lang w:val="pl-PL" w:eastAsia="pl-PL" w:bidi="ar-SA"/>
        </w:rPr>
        <w:t>Sprawdź, czy usługodawca podaje szczegółowe informacje na temat swoich procedur</w:t>
      </w:r>
    </w:p>
    <w:p w14:paraId="39DFED9E" w14:textId="77777777" w:rsidR="004639CA" w:rsidRDefault="004639CA" w:rsidP="004639CA">
      <w:pPr>
        <w:rPr>
          <w:rFonts w:eastAsia="Times New Roman"/>
          <w:color w:val="222222"/>
          <w:sz w:val="23"/>
          <w:szCs w:val="23"/>
          <w:lang w:val="pl-PL" w:eastAsia="pl-PL" w:bidi="ar-SA"/>
        </w:rPr>
      </w:pPr>
    </w:p>
    <w:p w14:paraId="5EABA52E" w14:textId="77777777" w:rsidR="004639CA" w:rsidRDefault="004639CA" w:rsidP="004639CA">
      <w:pPr>
        <w:pStyle w:val="Akapitzlist"/>
        <w:numPr>
          <w:ilvl w:val="0"/>
          <w:numId w:val="22"/>
        </w:numPr>
        <w:contextualSpacing w:val="0"/>
        <w:rPr>
          <w:rFonts w:eastAsia="Times New Roman"/>
          <w:color w:val="222222"/>
          <w:sz w:val="23"/>
          <w:szCs w:val="23"/>
          <w:lang w:val="pl-PL" w:eastAsia="pl-PL" w:bidi="ar-SA"/>
        </w:rPr>
      </w:pPr>
      <w:r>
        <w:rPr>
          <w:rFonts w:eastAsia="Times New Roman"/>
          <w:color w:val="222222"/>
          <w:sz w:val="23"/>
          <w:szCs w:val="23"/>
          <w:lang w:val="pl-PL" w:eastAsia="pl-PL" w:bidi="ar-SA"/>
        </w:rPr>
        <w:t>Sprawdź, jak i gdzie będą przechowywane Twoje dane osobowe i medyczne, czy będą dalej wykorzystywane lub udostępniane innym osobom</w:t>
      </w:r>
    </w:p>
    <w:p w14:paraId="79ECCD4B" w14:textId="77777777" w:rsidR="004639CA" w:rsidRDefault="004639CA" w:rsidP="004639CA">
      <w:pPr>
        <w:rPr>
          <w:rFonts w:eastAsia="Times New Roman"/>
          <w:color w:val="222222"/>
          <w:sz w:val="23"/>
          <w:szCs w:val="23"/>
          <w:lang w:val="pl-PL" w:eastAsia="pl-PL" w:bidi="ar-SA"/>
        </w:rPr>
      </w:pPr>
    </w:p>
    <w:p w14:paraId="0C8CB28E" w14:textId="77777777" w:rsidR="004639CA" w:rsidRDefault="004639CA" w:rsidP="004639CA">
      <w:pPr>
        <w:pStyle w:val="Akapitzlist"/>
        <w:numPr>
          <w:ilvl w:val="0"/>
          <w:numId w:val="22"/>
        </w:numPr>
        <w:contextualSpacing w:val="0"/>
        <w:rPr>
          <w:rFonts w:eastAsia="Times New Roman"/>
          <w:color w:val="222222"/>
          <w:sz w:val="23"/>
          <w:szCs w:val="23"/>
          <w:lang w:val="pl-PL" w:eastAsia="pl-PL" w:bidi="ar-SA"/>
        </w:rPr>
      </w:pPr>
      <w:r>
        <w:rPr>
          <w:rFonts w:eastAsia="Times New Roman"/>
          <w:color w:val="222222"/>
          <w:sz w:val="23"/>
          <w:szCs w:val="23"/>
          <w:lang w:val="pl-PL" w:eastAsia="pl-PL" w:bidi="ar-SA"/>
        </w:rPr>
        <w:t>Nie wyrażaj zgody na dalsze wykorzystywanie lub ponowną ocenę danych</w:t>
      </w:r>
    </w:p>
    <w:p w14:paraId="0CAAB241" w14:textId="77777777" w:rsidR="004639CA" w:rsidRDefault="004639CA" w:rsidP="004639CA">
      <w:pPr>
        <w:rPr>
          <w:rFonts w:eastAsia="Times New Roman"/>
          <w:color w:val="222222"/>
          <w:sz w:val="23"/>
          <w:szCs w:val="23"/>
          <w:lang w:val="pl-PL" w:eastAsia="pl-PL" w:bidi="ar-SA"/>
        </w:rPr>
      </w:pPr>
    </w:p>
    <w:p w14:paraId="0B8511BA" w14:textId="77777777" w:rsidR="004639CA" w:rsidRDefault="004639CA" w:rsidP="004639CA">
      <w:pPr>
        <w:pStyle w:val="Akapitzlist"/>
        <w:numPr>
          <w:ilvl w:val="0"/>
          <w:numId w:val="22"/>
        </w:numPr>
        <w:contextualSpacing w:val="0"/>
        <w:rPr>
          <w:rFonts w:eastAsia="Times New Roman"/>
          <w:color w:val="222222"/>
          <w:sz w:val="23"/>
          <w:szCs w:val="23"/>
          <w:lang w:val="pl-PL" w:eastAsia="pl-PL" w:bidi="ar-SA"/>
        </w:rPr>
      </w:pPr>
      <w:r>
        <w:rPr>
          <w:rFonts w:eastAsia="Times New Roman"/>
          <w:color w:val="222222"/>
          <w:sz w:val="23"/>
          <w:szCs w:val="23"/>
          <w:lang w:val="pl-PL" w:eastAsia="pl-PL" w:bidi="ar-SA"/>
        </w:rPr>
        <w:t>Przed wysłaniem jakichkolwiek próbek sprawdź, jakie wyniki uzyskasz, ponieważ możesz wykluczyć niektóre z nich</w:t>
      </w:r>
    </w:p>
    <w:p w14:paraId="0B05C332" w14:textId="77777777" w:rsidR="004639CA" w:rsidRDefault="004639CA" w:rsidP="004639CA">
      <w:pPr>
        <w:rPr>
          <w:rFonts w:eastAsia="Times New Roman"/>
          <w:color w:val="222222"/>
          <w:sz w:val="23"/>
          <w:szCs w:val="23"/>
          <w:lang w:val="pl-PL" w:eastAsia="pl-PL" w:bidi="ar-SA"/>
        </w:rPr>
      </w:pPr>
    </w:p>
    <w:p w14:paraId="771E1899" w14:textId="77777777" w:rsidR="004639CA" w:rsidRDefault="004639CA" w:rsidP="004639CA">
      <w:pPr>
        <w:pStyle w:val="Akapitzlist"/>
        <w:numPr>
          <w:ilvl w:val="0"/>
          <w:numId w:val="22"/>
        </w:numPr>
        <w:contextualSpacing w:val="0"/>
        <w:rPr>
          <w:rFonts w:eastAsia="Times New Roman"/>
          <w:color w:val="222222"/>
          <w:sz w:val="23"/>
          <w:szCs w:val="23"/>
          <w:lang w:val="pl-PL" w:eastAsia="pl-PL" w:bidi="ar-SA"/>
        </w:rPr>
      </w:pPr>
      <w:r>
        <w:rPr>
          <w:rFonts w:eastAsia="Times New Roman"/>
          <w:color w:val="222222"/>
          <w:sz w:val="23"/>
          <w:szCs w:val="23"/>
          <w:lang w:val="pl-PL" w:eastAsia="pl-PL" w:bidi="ar-SA"/>
        </w:rPr>
        <w:t>Pamiętaj, że w przypadku zakupów online masz 14 dni, aby się wycofać</w:t>
      </w:r>
      <w:r>
        <w:rPr>
          <w:rFonts w:eastAsia="Times New Roman"/>
          <w:color w:val="222222"/>
          <w:sz w:val="23"/>
          <w:szCs w:val="23"/>
          <w:lang w:val="pl-PL" w:eastAsia="pl-PL" w:bidi="ar-SA"/>
        </w:rPr>
        <w:br/>
        <w:t>- chyba że rozpocząłeś korzystanie z usługi</w:t>
      </w:r>
    </w:p>
    <w:p w14:paraId="58A291B4" w14:textId="77777777" w:rsidR="004639CA" w:rsidRDefault="004639CA" w:rsidP="004639CA">
      <w:pPr>
        <w:rPr>
          <w:rFonts w:eastAsia="Times New Roman"/>
          <w:color w:val="222222"/>
          <w:sz w:val="23"/>
          <w:szCs w:val="23"/>
          <w:lang w:val="pl-PL" w:eastAsia="pl-PL" w:bidi="ar-SA"/>
        </w:rPr>
      </w:pPr>
    </w:p>
    <w:p w14:paraId="6FBC846C" w14:textId="77777777" w:rsidR="004639CA" w:rsidRDefault="004639CA" w:rsidP="004639CA">
      <w:pPr>
        <w:pStyle w:val="Akapitzlist"/>
        <w:numPr>
          <w:ilvl w:val="0"/>
          <w:numId w:val="22"/>
        </w:numPr>
        <w:contextualSpacing w:val="0"/>
        <w:rPr>
          <w:rFonts w:eastAsia="Times New Roman"/>
          <w:color w:val="222222"/>
          <w:sz w:val="23"/>
          <w:szCs w:val="23"/>
          <w:lang w:val="pl-PL" w:eastAsia="pl-PL" w:bidi="ar-SA"/>
        </w:rPr>
      </w:pPr>
      <w:r>
        <w:rPr>
          <w:rFonts w:eastAsia="Times New Roman"/>
          <w:color w:val="222222"/>
          <w:sz w:val="23"/>
          <w:szCs w:val="23"/>
          <w:lang w:val="pl-PL" w:eastAsia="pl-PL" w:bidi="ar-SA"/>
        </w:rPr>
        <w:t>Bądź ostrożny z informacjami dotyczącymi mutacji genów. Uważaj na wszelkie zalecenia dotyczące zmiany stylu życia podane na podstawie wyników testu. Porozmawiaj z lekarzem</w:t>
      </w:r>
    </w:p>
    <w:p w14:paraId="2E3121DD" w14:textId="77777777" w:rsidR="004639CA" w:rsidRDefault="004639CA" w:rsidP="004639CA">
      <w:pPr>
        <w:rPr>
          <w:rFonts w:eastAsia="Times New Roman"/>
          <w:color w:val="222222"/>
          <w:sz w:val="23"/>
          <w:szCs w:val="23"/>
          <w:lang w:val="pl-PL" w:eastAsia="pl-PL" w:bidi="ar-SA"/>
        </w:rPr>
      </w:pPr>
    </w:p>
    <w:p w14:paraId="2DECF43A" w14:textId="77777777" w:rsidR="004639CA" w:rsidRDefault="004639CA" w:rsidP="004639CA">
      <w:pPr>
        <w:pStyle w:val="Akapitzlist"/>
        <w:numPr>
          <w:ilvl w:val="0"/>
          <w:numId w:val="22"/>
        </w:numPr>
        <w:contextualSpacing w:val="0"/>
        <w:rPr>
          <w:rFonts w:eastAsia="Times New Roman"/>
          <w:color w:val="222222"/>
          <w:sz w:val="23"/>
          <w:szCs w:val="23"/>
          <w:lang w:val="pl-PL" w:eastAsia="pl-PL" w:bidi="ar-SA"/>
        </w:rPr>
      </w:pPr>
      <w:r>
        <w:rPr>
          <w:rFonts w:eastAsia="Times New Roman"/>
          <w:color w:val="222222"/>
          <w:sz w:val="23"/>
          <w:szCs w:val="23"/>
          <w:lang w:val="pl-PL" w:eastAsia="pl-PL" w:bidi="ar-SA"/>
        </w:rPr>
        <w:t>Nie wahaj się poprosić firmę o usunięcie danych po otrzymaniu wyników</w:t>
      </w:r>
    </w:p>
    <w:p w14:paraId="76621FD9" w14:textId="77777777" w:rsidR="004639CA" w:rsidRDefault="004639CA" w:rsidP="004639CA">
      <w:pPr>
        <w:pStyle w:val="Nagwek1"/>
        <w:spacing w:before="1"/>
        <w:ind w:left="0"/>
        <w:rPr>
          <w:color w:val="005597"/>
          <w:lang w:val="pl-PL"/>
        </w:rPr>
      </w:pPr>
    </w:p>
    <w:p w14:paraId="37EBF11A" w14:textId="77777777" w:rsidR="0036119D" w:rsidRPr="003A2DBE" w:rsidRDefault="0036119D" w:rsidP="003A2DBE">
      <w:pPr>
        <w:pStyle w:val="Nagwek1"/>
        <w:spacing w:before="1"/>
        <w:ind w:left="0"/>
        <w:rPr>
          <w:color w:val="1F4E79"/>
          <w:lang w:val="pl-PL"/>
        </w:rPr>
      </w:pPr>
    </w:p>
    <w:p w14:paraId="0E42896F" w14:textId="299F22F8" w:rsidR="00FE0912" w:rsidRDefault="00FE0912" w:rsidP="00962B84">
      <w:pPr>
        <w:pStyle w:val="Nagwek1"/>
        <w:spacing w:before="1"/>
        <w:ind w:left="0"/>
        <w:rPr>
          <w:color w:val="005597"/>
          <w:lang w:val="pl-PL"/>
        </w:rPr>
      </w:pPr>
    </w:p>
    <w:p w14:paraId="590D4E0C" w14:textId="77777777" w:rsidR="00FE0912" w:rsidRDefault="00FE0912" w:rsidP="00962B84">
      <w:pPr>
        <w:pStyle w:val="Nagwek1"/>
        <w:spacing w:before="1"/>
        <w:ind w:left="0"/>
        <w:rPr>
          <w:color w:val="005597"/>
          <w:lang w:val="pl-PL"/>
        </w:rPr>
      </w:pPr>
    </w:p>
    <w:p w14:paraId="7B5EEE81" w14:textId="7D498662" w:rsidR="00962B84" w:rsidRPr="00BF6B05" w:rsidRDefault="00962B84" w:rsidP="00962B84">
      <w:pPr>
        <w:pStyle w:val="Nagwek1"/>
        <w:spacing w:before="1"/>
        <w:ind w:left="0"/>
        <w:rPr>
          <w:color w:val="005597"/>
          <w:sz w:val="22"/>
          <w:szCs w:val="22"/>
          <w:lang w:val="pl-PL"/>
        </w:rPr>
      </w:pPr>
      <w:r w:rsidRPr="00BF6B05">
        <w:rPr>
          <w:color w:val="005597"/>
          <w:sz w:val="22"/>
          <w:szCs w:val="22"/>
          <w:lang w:val="pl-PL"/>
        </w:rPr>
        <w:t>Dodatkowe informacje:</w:t>
      </w:r>
    </w:p>
    <w:p w14:paraId="4563971A" w14:textId="2545255F" w:rsidR="00962B84" w:rsidRPr="00621FC8" w:rsidRDefault="00962B84" w:rsidP="00962B84">
      <w:pPr>
        <w:pStyle w:val="Nagwek1"/>
        <w:spacing w:before="1"/>
        <w:ind w:left="0"/>
        <w:jc w:val="left"/>
        <w:rPr>
          <w:b w:val="0"/>
          <w:sz w:val="20"/>
          <w:lang w:val="pl-PL"/>
        </w:rPr>
      </w:pPr>
      <w:r w:rsidRPr="00621FC8">
        <w:rPr>
          <w:b w:val="0"/>
          <w:sz w:val="20"/>
          <w:lang w:val="pl-PL"/>
        </w:rPr>
        <w:t>Eur</w:t>
      </w:r>
      <w:r w:rsidR="00446FE7">
        <w:rPr>
          <w:b w:val="0"/>
          <w:sz w:val="20"/>
          <w:lang w:val="pl-PL"/>
        </w:rPr>
        <w:t xml:space="preserve">opejskie Centrum Konsumenckie </w:t>
      </w:r>
      <w:r w:rsidR="00446FE7">
        <w:rPr>
          <w:b w:val="0"/>
          <w:sz w:val="20"/>
          <w:lang w:val="pl-PL"/>
        </w:rPr>
        <w:br/>
      </w:r>
      <w:r w:rsidRPr="00621FC8">
        <w:rPr>
          <w:b w:val="0"/>
          <w:sz w:val="20"/>
          <w:lang w:val="pl-PL"/>
        </w:rPr>
        <w:t xml:space="preserve">Tel.: 22 55 60 248 </w:t>
      </w:r>
      <w:r w:rsidRPr="00621FC8">
        <w:rPr>
          <w:b w:val="0"/>
          <w:sz w:val="20"/>
          <w:lang w:val="pl-PL"/>
        </w:rPr>
        <w:br/>
        <w:t>lub 22 55 60 473</w:t>
      </w:r>
      <w:r w:rsidRPr="00621FC8">
        <w:rPr>
          <w:b w:val="0"/>
          <w:sz w:val="20"/>
          <w:lang w:val="pl-PL"/>
        </w:rPr>
        <w:br/>
        <w:t>E-mail:</w:t>
      </w:r>
      <w:r w:rsidRPr="00621FC8">
        <w:rPr>
          <w:lang w:val="pl-PL"/>
        </w:rPr>
        <w:t xml:space="preserve"> </w:t>
      </w:r>
      <w:r w:rsidRPr="00621FC8">
        <w:rPr>
          <w:rStyle w:val="Hipercze"/>
          <w:b w:val="0"/>
          <w:sz w:val="20"/>
          <w:lang w:val="pl-PL"/>
        </w:rPr>
        <w:t>media@konsument.gov.pl</w:t>
      </w:r>
      <w:r w:rsidRPr="00621FC8">
        <w:rPr>
          <w:b w:val="0"/>
          <w:snapToGrid w:val="0"/>
          <w:w w:val="0"/>
          <w:sz w:val="20"/>
          <w:u w:color="000000"/>
          <w:bdr w:val="none" w:sz="0" w:space="0" w:color="000000"/>
          <w:shd w:val="clear" w:color="000000" w:fill="000000"/>
          <w:lang w:val="pl-PL"/>
        </w:rPr>
        <w:br/>
      </w:r>
      <w:hyperlink r:id="rId8" w:history="1">
        <w:r w:rsidRPr="00621FC8">
          <w:rPr>
            <w:rStyle w:val="Hipercze"/>
            <w:b w:val="0"/>
            <w:sz w:val="20"/>
            <w:lang w:val="pl-PL"/>
          </w:rPr>
          <w:t>Twitter: @ECCPoland</w:t>
        </w:r>
      </w:hyperlink>
      <w:r w:rsidRPr="00621FC8">
        <w:rPr>
          <w:rStyle w:val="Hipercze"/>
          <w:b w:val="0"/>
          <w:sz w:val="20"/>
          <w:lang w:val="pl-PL"/>
        </w:rPr>
        <w:br/>
      </w:r>
      <w:hyperlink r:id="rId9" w:history="1">
        <w:r w:rsidRPr="00621FC8">
          <w:rPr>
            <w:rStyle w:val="Hipercze"/>
            <w:b w:val="0"/>
            <w:sz w:val="20"/>
            <w:lang w:val="pl-PL"/>
          </w:rPr>
          <w:t>Facebook: @</w:t>
        </w:r>
        <w:proofErr w:type="spellStart"/>
        <w:r w:rsidRPr="00621FC8">
          <w:rPr>
            <w:rStyle w:val="Hipercze"/>
            <w:b w:val="0"/>
            <w:sz w:val="20"/>
            <w:lang w:val="pl-PL"/>
          </w:rPr>
          <w:t>Europejskiecentrumkonsumenckie</w:t>
        </w:r>
        <w:proofErr w:type="spellEnd"/>
      </w:hyperlink>
      <w:r w:rsidRPr="00621FC8">
        <w:rPr>
          <w:b w:val="0"/>
          <w:sz w:val="20"/>
          <w:lang w:val="pl-PL"/>
        </w:rPr>
        <w:t xml:space="preserve"> </w:t>
      </w:r>
      <w:r w:rsidRPr="00621FC8">
        <w:rPr>
          <w:b w:val="0"/>
          <w:sz w:val="20"/>
          <w:lang w:val="pl-PL"/>
        </w:rPr>
        <w:br/>
      </w:r>
      <w:hyperlink r:id="rId10" w:history="1">
        <w:r w:rsidRPr="00621FC8">
          <w:rPr>
            <w:rStyle w:val="Hipercze"/>
            <w:b w:val="0"/>
            <w:sz w:val="20"/>
            <w:lang w:val="pl-PL"/>
          </w:rPr>
          <w:t>Aplikacja ECC-Net Travel</w:t>
        </w:r>
      </w:hyperlink>
      <w:r w:rsidRPr="00621FC8">
        <w:rPr>
          <w:b w:val="0"/>
          <w:sz w:val="20"/>
          <w:lang w:val="pl-PL"/>
        </w:rPr>
        <w:br/>
      </w:r>
      <w:hyperlink r:id="rId11" w:history="1">
        <w:r w:rsidRPr="00621FC8">
          <w:rPr>
            <w:rStyle w:val="Hipercze"/>
            <w:b w:val="0"/>
            <w:sz w:val="20"/>
            <w:lang w:val="pl-PL"/>
          </w:rPr>
          <w:t>konsument.gov.pl</w:t>
        </w:r>
      </w:hyperlink>
      <w:r w:rsidRPr="00621FC8">
        <w:rPr>
          <w:b w:val="0"/>
          <w:sz w:val="20"/>
          <w:lang w:val="pl-PL"/>
        </w:rPr>
        <w:t xml:space="preserve"> </w:t>
      </w:r>
      <w:r w:rsidRPr="00621FC8">
        <w:rPr>
          <w:b w:val="0"/>
          <w:sz w:val="20"/>
          <w:lang w:val="pl-PL"/>
        </w:rPr>
        <w:tab/>
      </w:r>
    </w:p>
    <w:p w14:paraId="18A8926B" w14:textId="77777777" w:rsidR="00962B84" w:rsidRPr="00621FC8" w:rsidRDefault="00962B84" w:rsidP="00962B84">
      <w:pPr>
        <w:pStyle w:val="Tekstpodstawowy"/>
        <w:jc w:val="both"/>
        <w:rPr>
          <w:b/>
          <w:sz w:val="18"/>
          <w:lang w:val="pl-PL"/>
        </w:rPr>
      </w:pPr>
    </w:p>
    <w:p w14:paraId="1605E1C6" w14:textId="77777777" w:rsidR="00962B84" w:rsidRPr="00621FC8" w:rsidRDefault="00962B84" w:rsidP="00962B84">
      <w:pPr>
        <w:pStyle w:val="Tekstpodstawowy"/>
        <w:spacing w:before="34"/>
        <w:ind w:right="-1"/>
        <w:jc w:val="both"/>
        <w:rPr>
          <w:sz w:val="15"/>
          <w:szCs w:val="15"/>
          <w:lang w:val="pl-PL"/>
        </w:rPr>
      </w:pPr>
      <w:r w:rsidRPr="00621FC8">
        <w:rPr>
          <w:sz w:val="15"/>
          <w:szCs w:val="15"/>
          <w:lang w:val="pl-PL"/>
        </w:rPr>
        <w:t>Europejskie Centrum Konsumenckie (ECK) należy do Sieci Europejskich Centrów Konsumenckich (ang. ECC-Net), służących pomocą konsumentom w całej UE. Europejskie centra konsumenckie bezpłatnie informują konsumentów o ich prawach w Unii Europejskiej oraz pomagają w polubownym rozwiązywaniu sporów transgranicznych z przedsiębiorcami mającymi siedziby w UE, Norwegii oraz Islandii. Konsumenci mogą zgłaszać do ECK swoje pytania i skargi na nieuczciwe praktyki np. zagranicznych biur podróży, hoteli, linii lotniczych, wypożyczalni samochodowych, czy sklepów internetowych drogą telefoniczną (22 55 60 600), poprzez e-mail (</w:t>
      </w:r>
      <w:hyperlink r:id="rId12" w:history="1">
        <w:r w:rsidRPr="00621FC8">
          <w:rPr>
            <w:rStyle w:val="Hipercze"/>
            <w:sz w:val="15"/>
            <w:szCs w:val="15"/>
            <w:lang w:val="pl-PL"/>
          </w:rPr>
          <w:t>ECCNET-PL@ec.europa.eu</w:t>
        </w:r>
      </w:hyperlink>
      <w:r w:rsidRPr="00621FC8">
        <w:rPr>
          <w:sz w:val="15"/>
          <w:szCs w:val="15"/>
          <w:lang w:val="pl-PL"/>
        </w:rPr>
        <w:t>) lub osobiście odwiedzając siedzibę centrum w Warszawie przy Pl. Powstańców Warszawy 1</w:t>
      </w:r>
    </w:p>
    <w:p w14:paraId="7AB326AB" w14:textId="77777777" w:rsidR="00962B84" w:rsidRPr="00621FC8" w:rsidRDefault="00962B84" w:rsidP="00962B84">
      <w:pPr>
        <w:pStyle w:val="Tekstpodstawowy"/>
        <w:jc w:val="both"/>
        <w:rPr>
          <w:b/>
          <w:sz w:val="18"/>
          <w:lang w:val="pl-PL"/>
        </w:rPr>
      </w:pPr>
      <w:r w:rsidRPr="00621FC8">
        <w:rPr>
          <w:noProof/>
          <w:lang w:val="pl-PL" w:eastAsia="pl-PL" w:bidi="ar-SA"/>
        </w:rPr>
        <w:drawing>
          <wp:anchor distT="0" distB="0" distL="114300" distR="114300" simplePos="0" relativeHeight="251661312" behindDoc="0" locked="0" layoutInCell="1" allowOverlap="1" wp14:anchorId="5856030C" wp14:editId="76BFBFAB">
            <wp:simplePos x="0" y="0"/>
            <wp:positionH relativeFrom="margin">
              <wp:posOffset>4610100</wp:posOffset>
            </wp:positionH>
            <wp:positionV relativeFrom="paragraph">
              <wp:posOffset>110490</wp:posOffset>
            </wp:positionV>
            <wp:extent cx="1047750" cy="746760"/>
            <wp:effectExtent l="0" t="0" r="0" b="0"/>
            <wp:wrapSquare wrapText="bothSides"/>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Informacja o finansowaniu.jpg"/>
                    <pic:cNvPicPr/>
                  </pic:nvPicPr>
                  <pic:blipFill rotWithShape="1">
                    <a:blip r:embed="rId13" cstate="print">
                      <a:extLst>
                        <a:ext uri="{28A0092B-C50C-407E-A947-70E740481C1C}">
                          <a14:useLocalDpi xmlns:a14="http://schemas.microsoft.com/office/drawing/2010/main" val="0"/>
                        </a:ext>
                      </a:extLst>
                    </a:blip>
                    <a:srcRect l="54772"/>
                    <a:stretch/>
                  </pic:blipFill>
                  <pic:spPr bwMode="auto">
                    <a:xfrm>
                      <a:off x="0" y="0"/>
                      <a:ext cx="1047750" cy="746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2E4F8C" w14:textId="6D7DC2A5" w:rsidR="00E3094D" w:rsidRPr="002166A7" w:rsidRDefault="00962B84" w:rsidP="00EF4EE9">
      <w:pPr>
        <w:spacing w:before="100"/>
        <w:ind w:right="-1"/>
        <w:jc w:val="both"/>
        <w:rPr>
          <w:noProof/>
          <w:lang w:val="pl-PL" w:eastAsia="pl-PL" w:bidi="ar-SA"/>
        </w:rPr>
      </w:pPr>
      <w:r w:rsidRPr="00621FC8">
        <w:rPr>
          <w:noProof/>
          <w:lang w:val="pl-PL" w:eastAsia="pl-PL" w:bidi="ar-SA"/>
        </w:rPr>
        <w:drawing>
          <wp:anchor distT="0" distB="0" distL="0" distR="0" simplePos="0" relativeHeight="251659264" behindDoc="0" locked="0" layoutInCell="1" allowOverlap="1" wp14:anchorId="3528FAEF" wp14:editId="002F6763">
            <wp:simplePos x="0" y="0"/>
            <wp:positionH relativeFrom="page">
              <wp:posOffset>161925</wp:posOffset>
            </wp:positionH>
            <wp:positionV relativeFrom="page">
              <wp:posOffset>10744200</wp:posOffset>
            </wp:positionV>
            <wp:extent cx="7367905" cy="86984"/>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stretch>
                      <a:fillRect/>
                    </a:stretch>
                  </pic:blipFill>
                  <pic:spPr>
                    <a:xfrm>
                      <a:off x="0" y="0"/>
                      <a:ext cx="7367905" cy="86984"/>
                    </a:xfrm>
                    <a:prstGeom prst="rect">
                      <a:avLst/>
                    </a:prstGeom>
                  </pic:spPr>
                </pic:pic>
              </a:graphicData>
            </a:graphic>
          </wp:anchor>
        </w:drawing>
      </w:r>
      <w:r w:rsidRPr="00621FC8">
        <w:rPr>
          <w:color w:val="005597"/>
          <w:sz w:val="15"/>
          <w:lang w:val="pl-PL"/>
        </w:rPr>
        <w:t xml:space="preserve">Niniejsze działanie otrzymało dofinansowanie z Programu Ochrony Konsumentów Unii Europejskiej na lata 2014-2020.Treść informacji prasowej </w:t>
      </w:r>
      <w:r w:rsidR="002166A7" w:rsidRPr="002166A7">
        <w:rPr>
          <w:color w:val="005597"/>
          <w:sz w:val="15"/>
          <w:lang w:val="pl-PL"/>
        </w:rPr>
        <w:t>przedstawia poglądy autora i stanowi jego wyłączną odpowiedzialność; w żaden sposób nie odzwierciedla poglądów Komisji Europejskiej i/lub Agencji Wykonawczej ds. Konsumentów, Zdrowia, Rolnictwa i Żywnośc</w:t>
      </w:r>
      <w:r w:rsidR="002166A7">
        <w:rPr>
          <w:color w:val="005597"/>
          <w:sz w:val="15"/>
          <w:lang w:val="pl-PL"/>
        </w:rPr>
        <w:t>i</w:t>
      </w:r>
      <w:r w:rsidR="002166A7" w:rsidRPr="002166A7">
        <w:rPr>
          <w:color w:val="005597"/>
          <w:sz w:val="15"/>
          <w:lang w:val="pl-PL"/>
        </w:rPr>
        <w:t xml:space="preserve"> (</w:t>
      </w:r>
      <w:proofErr w:type="spellStart"/>
      <w:r w:rsidR="002166A7" w:rsidRPr="002166A7">
        <w:rPr>
          <w:color w:val="005597"/>
          <w:sz w:val="15"/>
          <w:lang w:val="pl-PL"/>
        </w:rPr>
        <w:t>Chafea</w:t>
      </w:r>
      <w:proofErr w:type="spellEnd"/>
      <w:r w:rsidR="002166A7" w:rsidRPr="002166A7">
        <w:rPr>
          <w:color w:val="005597"/>
          <w:sz w:val="15"/>
          <w:lang w:val="pl-PL"/>
        </w:rPr>
        <w:t>) lub jej następcy Europejskiej Rady ds. Innowacji i Agencji Wykonawczej ds. Małych i Średnich Przedsiębiorstw (EISMEA) ani innego organu Unii Europejskiej. Komisja Europejska i/lub Agencja Wykonawcza nie ponoszą odpowiedzialności za wykorzystanie zawartych na niej informacji.</w:t>
      </w:r>
    </w:p>
    <w:sectPr w:rsidR="00E3094D" w:rsidRPr="002166A7" w:rsidSect="00EC4FEB">
      <w:footerReference w:type="default" r:id="rId15"/>
      <w:pgSz w:w="11910" w:h="16840"/>
      <w:pgMar w:top="426" w:right="1704" w:bottom="0"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2F18B" w14:textId="77777777" w:rsidR="001A0FCB" w:rsidRDefault="001A0FCB">
      <w:r>
        <w:separator/>
      </w:r>
    </w:p>
  </w:endnote>
  <w:endnote w:type="continuationSeparator" w:id="0">
    <w:p w14:paraId="7A0ACBB0" w14:textId="77777777" w:rsidR="001A0FCB" w:rsidRDefault="001A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441FE" w14:textId="77777777" w:rsidR="005A3CA8" w:rsidRDefault="00962B84">
    <w:pPr>
      <w:pStyle w:val="Stopka"/>
    </w:pPr>
    <w:r w:rsidRPr="0009236D">
      <w:rPr>
        <w:noProof/>
        <w:lang w:val="pl-PL" w:eastAsia="pl-PL" w:bidi="ar-SA"/>
      </w:rPr>
      <w:drawing>
        <wp:anchor distT="0" distB="0" distL="0" distR="0" simplePos="0" relativeHeight="251659264" behindDoc="0" locked="0" layoutInCell="1" allowOverlap="1" wp14:anchorId="7F26CCE8" wp14:editId="0E8FD339">
          <wp:simplePos x="0" y="0"/>
          <wp:positionH relativeFrom="page">
            <wp:posOffset>-38100</wp:posOffset>
          </wp:positionH>
          <wp:positionV relativeFrom="page">
            <wp:posOffset>10593070</wp:posOffset>
          </wp:positionV>
          <wp:extent cx="7367905" cy="86360"/>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367905" cy="863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1FCCA" w14:textId="77777777" w:rsidR="001A0FCB" w:rsidRDefault="001A0FCB">
      <w:r>
        <w:separator/>
      </w:r>
    </w:p>
  </w:footnote>
  <w:footnote w:type="continuationSeparator" w:id="0">
    <w:p w14:paraId="73423F25" w14:textId="77777777" w:rsidR="001A0FCB" w:rsidRDefault="001A0F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1FF0"/>
    <w:multiLevelType w:val="hybridMultilevel"/>
    <w:tmpl w:val="D646B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9332C8"/>
    <w:multiLevelType w:val="multilevel"/>
    <w:tmpl w:val="BD92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C216DE"/>
    <w:multiLevelType w:val="multilevel"/>
    <w:tmpl w:val="00C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8535C0"/>
    <w:multiLevelType w:val="multilevel"/>
    <w:tmpl w:val="7D9C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4152C"/>
    <w:multiLevelType w:val="hybridMultilevel"/>
    <w:tmpl w:val="FE5EE9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664FA"/>
    <w:multiLevelType w:val="multilevel"/>
    <w:tmpl w:val="49C2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E22C0"/>
    <w:multiLevelType w:val="multilevel"/>
    <w:tmpl w:val="BE66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F522C3"/>
    <w:multiLevelType w:val="hybridMultilevel"/>
    <w:tmpl w:val="5BC4D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3811E9B"/>
    <w:multiLevelType w:val="hybridMultilevel"/>
    <w:tmpl w:val="AFB2CA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54344B"/>
    <w:multiLevelType w:val="hybridMultilevel"/>
    <w:tmpl w:val="6CAC7FEE"/>
    <w:lvl w:ilvl="0" w:tplc="5E44D278">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5DC66B0"/>
    <w:multiLevelType w:val="hybridMultilevel"/>
    <w:tmpl w:val="669E4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9872EBA"/>
    <w:multiLevelType w:val="hybridMultilevel"/>
    <w:tmpl w:val="BA98F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BFF5C66"/>
    <w:multiLevelType w:val="multilevel"/>
    <w:tmpl w:val="E410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31029"/>
    <w:multiLevelType w:val="hybridMultilevel"/>
    <w:tmpl w:val="443E7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41471CD"/>
    <w:multiLevelType w:val="hybridMultilevel"/>
    <w:tmpl w:val="2B84B2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54C0222"/>
    <w:multiLevelType w:val="hybridMultilevel"/>
    <w:tmpl w:val="E63871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98513C2"/>
    <w:multiLevelType w:val="hybridMultilevel"/>
    <w:tmpl w:val="3EE691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5C8766CF"/>
    <w:multiLevelType w:val="multilevel"/>
    <w:tmpl w:val="C13C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972FC7"/>
    <w:multiLevelType w:val="hybridMultilevel"/>
    <w:tmpl w:val="357E88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2C3933"/>
    <w:multiLevelType w:val="hybridMultilevel"/>
    <w:tmpl w:val="4468DB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0663961"/>
    <w:multiLevelType w:val="hybridMultilevel"/>
    <w:tmpl w:val="FA7AC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5742B2F"/>
    <w:multiLevelType w:val="hybridMultilevel"/>
    <w:tmpl w:val="011E3B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3"/>
  </w:num>
  <w:num w:numId="4">
    <w:abstractNumId w:val="12"/>
  </w:num>
  <w:num w:numId="5">
    <w:abstractNumId w:val="4"/>
  </w:num>
  <w:num w:numId="6">
    <w:abstractNumId w:val="11"/>
  </w:num>
  <w:num w:numId="7">
    <w:abstractNumId w:val="0"/>
  </w:num>
  <w:num w:numId="8">
    <w:abstractNumId w:val="6"/>
  </w:num>
  <w:num w:numId="9">
    <w:abstractNumId w:val="2"/>
  </w:num>
  <w:num w:numId="10">
    <w:abstractNumId w:val="1"/>
  </w:num>
  <w:num w:numId="11">
    <w:abstractNumId w:val="14"/>
  </w:num>
  <w:num w:numId="12">
    <w:abstractNumId w:val="15"/>
  </w:num>
  <w:num w:numId="13">
    <w:abstractNumId w:val="13"/>
  </w:num>
  <w:num w:numId="14">
    <w:abstractNumId w:val="20"/>
  </w:num>
  <w:num w:numId="15">
    <w:abstractNumId w:val="9"/>
  </w:num>
  <w:num w:numId="16">
    <w:abstractNumId w:val="10"/>
  </w:num>
  <w:num w:numId="17">
    <w:abstractNumId w:val="21"/>
  </w:num>
  <w:num w:numId="18">
    <w:abstractNumId w:val="18"/>
  </w:num>
  <w:num w:numId="19">
    <w:abstractNumId w:val="8"/>
  </w:num>
  <w:num w:numId="20">
    <w:abstractNumId w:val="7"/>
  </w:num>
  <w:num w:numId="21">
    <w:abstractNumId w:val="19"/>
  </w:num>
  <w:num w:numId="22">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489"/>
    <w:rsid w:val="00010429"/>
    <w:rsid w:val="000110CF"/>
    <w:rsid w:val="00014485"/>
    <w:rsid w:val="0001670E"/>
    <w:rsid w:val="00046B7C"/>
    <w:rsid w:val="00064996"/>
    <w:rsid w:val="00074E3B"/>
    <w:rsid w:val="000931B8"/>
    <w:rsid w:val="000974C1"/>
    <w:rsid w:val="00097B69"/>
    <w:rsid w:val="000A47D8"/>
    <w:rsid w:val="000C0F43"/>
    <w:rsid w:val="000C1975"/>
    <w:rsid w:val="000C7A39"/>
    <w:rsid w:val="000F754D"/>
    <w:rsid w:val="001172F3"/>
    <w:rsid w:val="001828D4"/>
    <w:rsid w:val="0018532D"/>
    <w:rsid w:val="001A0FCB"/>
    <w:rsid w:val="001D6F2B"/>
    <w:rsid w:val="001F7FDB"/>
    <w:rsid w:val="002108C9"/>
    <w:rsid w:val="002166A7"/>
    <w:rsid w:val="002279B8"/>
    <w:rsid w:val="00231590"/>
    <w:rsid w:val="00250F27"/>
    <w:rsid w:val="002B2274"/>
    <w:rsid w:val="002C5268"/>
    <w:rsid w:val="002D0FEA"/>
    <w:rsid w:val="002D21C1"/>
    <w:rsid w:val="002D515A"/>
    <w:rsid w:val="002F3B0E"/>
    <w:rsid w:val="003035CA"/>
    <w:rsid w:val="00312AFA"/>
    <w:rsid w:val="00314ADF"/>
    <w:rsid w:val="003165D1"/>
    <w:rsid w:val="00331C3B"/>
    <w:rsid w:val="00342B24"/>
    <w:rsid w:val="00344281"/>
    <w:rsid w:val="00350B9A"/>
    <w:rsid w:val="0036119D"/>
    <w:rsid w:val="00365E68"/>
    <w:rsid w:val="00365F57"/>
    <w:rsid w:val="00377099"/>
    <w:rsid w:val="00387AEA"/>
    <w:rsid w:val="0039258C"/>
    <w:rsid w:val="00396E08"/>
    <w:rsid w:val="003A2DBE"/>
    <w:rsid w:val="003A4BA4"/>
    <w:rsid w:val="003E1BAC"/>
    <w:rsid w:val="003E243A"/>
    <w:rsid w:val="003E61BC"/>
    <w:rsid w:val="003F5A01"/>
    <w:rsid w:val="004226DC"/>
    <w:rsid w:val="00423003"/>
    <w:rsid w:val="0044021D"/>
    <w:rsid w:val="00441FD6"/>
    <w:rsid w:val="00446729"/>
    <w:rsid w:val="00446FE7"/>
    <w:rsid w:val="00453D64"/>
    <w:rsid w:val="004639CA"/>
    <w:rsid w:val="004657CF"/>
    <w:rsid w:val="00474CDC"/>
    <w:rsid w:val="00476F46"/>
    <w:rsid w:val="00481B86"/>
    <w:rsid w:val="0049368E"/>
    <w:rsid w:val="004B4317"/>
    <w:rsid w:val="004C69BB"/>
    <w:rsid w:val="004F215A"/>
    <w:rsid w:val="00520185"/>
    <w:rsid w:val="005450D6"/>
    <w:rsid w:val="00555DAB"/>
    <w:rsid w:val="00563E2A"/>
    <w:rsid w:val="00563EEA"/>
    <w:rsid w:val="00570A39"/>
    <w:rsid w:val="00576AD4"/>
    <w:rsid w:val="00585E82"/>
    <w:rsid w:val="005B01B5"/>
    <w:rsid w:val="005B1081"/>
    <w:rsid w:val="005B27DB"/>
    <w:rsid w:val="005E1951"/>
    <w:rsid w:val="00602CCF"/>
    <w:rsid w:val="00606684"/>
    <w:rsid w:val="00607619"/>
    <w:rsid w:val="00607AFB"/>
    <w:rsid w:val="00615C77"/>
    <w:rsid w:val="0062197D"/>
    <w:rsid w:val="0062623A"/>
    <w:rsid w:val="00653958"/>
    <w:rsid w:val="00660CC5"/>
    <w:rsid w:val="0067599C"/>
    <w:rsid w:val="006B75BE"/>
    <w:rsid w:val="006C15D7"/>
    <w:rsid w:val="006C16FE"/>
    <w:rsid w:val="006C2CF9"/>
    <w:rsid w:val="006C5397"/>
    <w:rsid w:val="006C5FEE"/>
    <w:rsid w:val="006D20A7"/>
    <w:rsid w:val="006D75CE"/>
    <w:rsid w:val="006E3088"/>
    <w:rsid w:val="006F6017"/>
    <w:rsid w:val="0070084F"/>
    <w:rsid w:val="007025CE"/>
    <w:rsid w:val="007037A6"/>
    <w:rsid w:val="00737972"/>
    <w:rsid w:val="00750CC9"/>
    <w:rsid w:val="0076255D"/>
    <w:rsid w:val="00770EE2"/>
    <w:rsid w:val="00772A8B"/>
    <w:rsid w:val="00774DE2"/>
    <w:rsid w:val="00780EF3"/>
    <w:rsid w:val="007947A5"/>
    <w:rsid w:val="007A422C"/>
    <w:rsid w:val="007A46B1"/>
    <w:rsid w:val="007C3B2B"/>
    <w:rsid w:val="007C4166"/>
    <w:rsid w:val="007C425A"/>
    <w:rsid w:val="007F7067"/>
    <w:rsid w:val="008062A0"/>
    <w:rsid w:val="00856CA4"/>
    <w:rsid w:val="00883F9C"/>
    <w:rsid w:val="00885953"/>
    <w:rsid w:val="008943A1"/>
    <w:rsid w:val="00895C1B"/>
    <w:rsid w:val="008A1EF7"/>
    <w:rsid w:val="008D0C70"/>
    <w:rsid w:val="008D5BBA"/>
    <w:rsid w:val="0091573A"/>
    <w:rsid w:val="00925304"/>
    <w:rsid w:val="009272FE"/>
    <w:rsid w:val="00933604"/>
    <w:rsid w:val="0093386E"/>
    <w:rsid w:val="0095406D"/>
    <w:rsid w:val="00962B84"/>
    <w:rsid w:val="00965CAD"/>
    <w:rsid w:val="00980A53"/>
    <w:rsid w:val="0098351B"/>
    <w:rsid w:val="0099750B"/>
    <w:rsid w:val="00997E4D"/>
    <w:rsid w:val="009B3953"/>
    <w:rsid w:val="009D0CE2"/>
    <w:rsid w:val="009F3FAA"/>
    <w:rsid w:val="00A070A7"/>
    <w:rsid w:val="00A149FA"/>
    <w:rsid w:val="00A27259"/>
    <w:rsid w:val="00A5185C"/>
    <w:rsid w:val="00A54568"/>
    <w:rsid w:val="00A64483"/>
    <w:rsid w:val="00A738C3"/>
    <w:rsid w:val="00A77BEA"/>
    <w:rsid w:val="00A92163"/>
    <w:rsid w:val="00AA1714"/>
    <w:rsid w:val="00AA50CA"/>
    <w:rsid w:val="00AC4D52"/>
    <w:rsid w:val="00AE4A10"/>
    <w:rsid w:val="00B113DE"/>
    <w:rsid w:val="00B20FC2"/>
    <w:rsid w:val="00B3572B"/>
    <w:rsid w:val="00B558C6"/>
    <w:rsid w:val="00B60145"/>
    <w:rsid w:val="00B7234C"/>
    <w:rsid w:val="00BA0512"/>
    <w:rsid w:val="00BC4B81"/>
    <w:rsid w:val="00BD08AE"/>
    <w:rsid w:val="00BD707F"/>
    <w:rsid w:val="00BF6B05"/>
    <w:rsid w:val="00C07E6B"/>
    <w:rsid w:val="00C1045B"/>
    <w:rsid w:val="00C13CA7"/>
    <w:rsid w:val="00C20202"/>
    <w:rsid w:val="00C217C8"/>
    <w:rsid w:val="00C508CC"/>
    <w:rsid w:val="00C51AB0"/>
    <w:rsid w:val="00C6689D"/>
    <w:rsid w:val="00C765A1"/>
    <w:rsid w:val="00C867F0"/>
    <w:rsid w:val="00C95D18"/>
    <w:rsid w:val="00CA0A33"/>
    <w:rsid w:val="00CA4EC9"/>
    <w:rsid w:val="00CA6A03"/>
    <w:rsid w:val="00CE66FD"/>
    <w:rsid w:val="00D21215"/>
    <w:rsid w:val="00D352C3"/>
    <w:rsid w:val="00D73BAD"/>
    <w:rsid w:val="00D7784B"/>
    <w:rsid w:val="00D90119"/>
    <w:rsid w:val="00DC7A67"/>
    <w:rsid w:val="00DD46D6"/>
    <w:rsid w:val="00DF7265"/>
    <w:rsid w:val="00E0656F"/>
    <w:rsid w:val="00E2199F"/>
    <w:rsid w:val="00E3094D"/>
    <w:rsid w:val="00E43E52"/>
    <w:rsid w:val="00E572DF"/>
    <w:rsid w:val="00E57C26"/>
    <w:rsid w:val="00E9001D"/>
    <w:rsid w:val="00E977CE"/>
    <w:rsid w:val="00EA020F"/>
    <w:rsid w:val="00EB4E7A"/>
    <w:rsid w:val="00EC4FEB"/>
    <w:rsid w:val="00ED3F71"/>
    <w:rsid w:val="00EF3BBD"/>
    <w:rsid w:val="00EF4872"/>
    <w:rsid w:val="00EF4EE9"/>
    <w:rsid w:val="00EF54BB"/>
    <w:rsid w:val="00F162E4"/>
    <w:rsid w:val="00F24C24"/>
    <w:rsid w:val="00F278B8"/>
    <w:rsid w:val="00F324D3"/>
    <w:rsid w:val="00F33489"/>
    <w:rsid w:val="00F726A6"/>
    <w:rsid w:val="00FA0B84"/>
    <w:rsid w:val="00FB059C"/>
    <w:rsid w:val="00FE0912"/>
    <w:rsid w:val="00FF5434"/>
    <w:rsid w:val="00FF77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F441A"/>
  <w15:chartTrackingRefBased/>
  <w15:docId w15:val="{7DD42B0E-E284-48D0-AE44-4D605DCA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962B84"/>
    <w:pPr>
      <w:widowControl w:val="0"/>
      <w:autoSpaceDE w:val="0"/>
      <w:autoSpaceDN w:val="0"/>
      <w:spacing w:after="0" w:line="240" w:lineRule="auto"/>
    </w:pPr>
    <w:rPr>
      <w:rFonts w:ascii="Arial" w:eastAsia="Arial" w:hAnsi="Arial" w:cs="Arial"/>
      <w:lang w:val="en-US" w:bidi="en-US"/>
    </w:rPr>
  </w:style>
  <w:style w:type="paragraph" w:styleId="Nagwek1">
    <w:name w:val="heading 1"/>
    <w:basedOn w:val="Normalny"/>
    <w:link w:val="Nagwek1Znak"/>
    <w:uiPriority w:val="1"/>
    <w:qFormat/>
    <w:rsid w:val="00962B84"/>
    <w:pPr>
      <w:ind w:left="1135"/>
      <w:jc w:val="both"/>
      <w:outlineLvl w:val="0"/>
    </w:pPr>
    <w:rPr>
      <w:b/>
      <w:bCs/>
      <w:sz w:val="21"/>
      <w:szCs w:val="21"/>
    </w:rPr>
  </w:style>
  <w:style w:type="paragraph" w:styleId="Nagwek2">
    <w:name w:val="heading 2"/>
    <w:basedOn w:val="Normalny"/>
    <w:next w:val="Normalny"/>
    <w:link w:val="Nagwek2Znak"/>
    <w:uiPriority w:val="9"/>
    <w:semiHidden/>
    <w:unhideWhenUsed/>
    <w:qFormat/>
    <w:rsid w:val="00E3094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962B84"/>
    <w:rPr>
      <w:rFonts w:ascii="Arial" w:eastAsia="Arial" w:hAnsi="Arial" w:cs="Arial"/>
      <w:b/>
      <w:bCs/>
      <w:sz w:val="21"/>
      <w:szCs w:val="21"/>
      <w:lang w:val="en-US" w:bidi="en-US"/>
    </w:rPr>
  </w:style>
  <w:style w:type="paragraph" w:styleId="Tekstpodstawowy">
    <w:name w:val="Body Text"/>
    <w:basedOn w:val="Normalny"/>
    <w:link w:val="TekstpodstawowyZnak"/>
    <w:uiPriority w:val="1"/>
    <w:qFormat/>
    <w:rsid w:val="00962B84"/>
    <w:rPr>
      <w:sz w:val="21"/>
      <w:szCs w:val="21"/>
    </w:rPr>
  </w:style>
  <w:style w:type="character" w:customStyle="1" w:styleId="TekstpodstawowyZnak">
    <w:name w:val="Tekst podstawowy Znak"/>
    <w:basedOn w:val="Domylnaczcionkaakapitu"/>
    <w:link w:val="Tekstpodstawowy"/>
    <w:uiPriority w:val="1"/>
    <w:rsid w:val="00962B84"/>
    <w:rPr>
      <w:rFonts w:ascii="Arial" w:eastAsia="Arial" w:hAnsi="Arial" w:cs="Arial"/>
      <w:sz w:val="21"/>
      <w:szCs w:val="21"/>
      <w:lang w:val="en-US" w:bidi="en-US"/>
    </w:rPr>
  </w:style>
  <w:style w:type="paragraph" w:styleId="NormalnyWeb">
    <w:name w:val="Normal (Web)"/>
    <w:basedOn w:val="Normalny"/>
    <w:uiPriority w:val="99"/>
    <w:unhideWhenUsed/>
    <w:rsid w:val="00962B84"/>
    <w:pPr>
      <w:widowControl/>
      <w:autoSpaceDE/>
      <w:autoSpaceDN/>
      <w:spacing w:before="100" w:beforeAutospacing="1" w:after="100" w:afterAutospacing="1"/>
    </w:pPr>
    <w:rPr>
      <w:rFonts w:ascii="Times New Roman" w:eastAsia="Times New Roman" w:hAnsi="Times New Roman" w:cs="Times New Roman"/>
      <w:sz w:val="24"/>
      <w:szCs w:val="24"/>
      <w:lang w:val="pl-PL" w:eastAsia="pl-PL" w:bidi="ar-SA"/>
    </w:rPr>
  </w:style>
  <w:style w:type="character" w:styleId="Hipercze">
    <w:name w:val="Hyperlink"/>
    <w:basedOn w:val="Domylnaczcionkaakapitu"/>
    <w:uiPriority w:val="99"/>
    <w:rsid w:val="00962B84"/>
    <w:rPr>
      <w:color w:val="0000FF"/>
      <w:u w:val="single"/>
    </w:rPr>
  </w:style>
  <w:style w:type="paragraph" w:styleId="Stopka">
    <w:name w:val="footer"/>
    <w:basedOn w:val="Normalny"/>
    <w:link w:val="StopkaZnak"/>
    <w:uiPriority w:val="99"/>
    <w:unhideWhenUsed/>
    <w:rsid w:val="00962B84"/>
    <w:pPr>
      <w:tabs>
        <w:tab w:val="center" w:pos="4536"/>
        <w:tab w:val="right" w:pos="9072"/>
      </w:tabs>
    </w:pPr>
  </w:style>
  <w:style w:type="character" w:customStyle="1" w:styleId="StopkaZnak">
    <w:name w:val="Stopka Znak"/>
    <w:basedOn w:val="Domylnaczcionkaakapitu"/>
    <w:link w:val="Stopka"/>
    <w:uiPriority w:val="99"/>
    <w:rsid w:val="00962B84"/>
    <w:rPr>
      <w:rFonts w:ascii="Arial" w:eastAsia="Arial" w:hAnsi="Arial" w:cs="Arial"/>
      <w:lang w:val="en-US" w:bidi="en-US"/>
    </w:rPr>
  </w:style>
  <w:style w:type="character" w:styleId="UyteHipercze">
    <w:name w:val="FollowedHyperlink"/>
    <w:basedOn w:val="Domylnaczcionkaakapitu"/>
    <w:uiPriority w:val="99"/>
    <w:semiHidden/>
    <w:unhideWhenUsed/>
    <w:rsid w:val="00737972"/>
    <w:rPr>
      <w:color w:val="954F72" w:themeColor="followedHyperlink"/>
      <w:u w:val="single"/>
    </w:rPr>
  </w:style>
  <w:style w:type="paragraph" w:styleId="Tekstdymka">
    <w:name w:val="Balloon Text"/>
    <w:basedOn w:val="Normalny"/>
    <w:link w:val="TekstdymkaZnak"/>
    <w:uiPriority w:val="99"/>
    <w:semiHidden/>
    <w:unhideWhenUsed/>
    <w:rsid w:val="00344281"/>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4281"/>
    <w:rPr>
      <w:rFonts w:ascii="Segoe UI" w:eastAsia="Arial" w:hAnsi="Segoe UI" w:cs="Segoe UI"/>
      <w:sz w:val="18"/>
      <w:szCs w:val="18"/>
      <w:lang w:val="en-US" w:bidi="en-US"/>
    </w:rPr>
  </w:style>
  <w:style w:type="character" w:styleId="Odwoaniedokomentarza">
    <w:name w:val="annotation reference"/>
    <w:basedOn w:val="Domylnaczcionkaakapitu"/>
    <w:uiPriority w:val="99"/>
    <w:semiHidden/>
    <w:unhideWhenUsed/>
    <w:rsid w:val="00064996"/>
    <w:rPr>
      <w:sz w:val="16"/>
      <w:szCs w:val="16"/>
    </w:rPr>
  </w:style>
  <w:style w:type="paragraph" w:styleId="Tekstkomentarza">
    <w:name w:val="annotation text"/>
    <w:basedOn w:val="Normalny"/>
    <w:link w:val="TekstkomentarzaZnak"/>
    <w:uiPriority w:val="99"/>
    <w:semiHidden/>
    <w:unhideWhenUsed/>
    <w:rsid w:val="00064996"/>
    <w:rPr>
      <w:sz w:val="20"/>
      <w:szCs w:val="20"/>
    </w:rPr>
  </w:style>
  <w:style w:type="character" w:customStyle="1" w:styleId="TekstkomentarzaZnak">
    <w:name w:val="Tekst komentarza Znak"/>
    <w:basedOn w:val="Domylnaczcionkaakapitu"/>
    <w:link w:val="Tekstkomentarza"/>
    <w:uiPriority w:val="99"/>
    <w:semiHidden/>
    <w:rsid w:val="00064996"/>
    <w:rPr>
      <w:rFonts w:ascii="Arial" w:eastAsia="Arial" w:hAnsi="Arial" w:cs="Arial"/>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064996"/>
    <w:rPr>
      <w:b/>
      <w:bCs/>
    </w:rPr>
  </w:style>
  <w:style w:type="character" w:customStyle="1" w:styleId="TematkomentarzaZnak">
    <w:name w:val="Temat komentarza Znak"/>
    <w:basedOn w:val="TekstkomentarzaZnak"/>
    <w:link w:val="Tematkomentarza"/>
    <w:uiPriority w:val="99"/>
    <w:semiHidden/>
    <w:rsid w:val="00064996"/>
    <w:rPr>
      <w:rFonts w:ascii="Arial" w:eastAsia="Arial" w:hAnsi="Arial" w:cs="Arial"/>
      <w:b/>
      <w:bCs/>
      <w:sz w:val="20"/>
      <w:szCs w:val="20"/>
      <w:lang w:val="en-US" w:bidi="en-US"/>
    </w:rPr>
  </w:style>
  <w:style w:type="table" w:customStyle="1" w:styleId="TableGrid1">
    <w:name w:val="Table Grid1"/>
    <w:basedOn w:val="Standardowy"/>
    <w:next w:val="Tabela-Siatka"/>
    <w:uiPriority w:val="59"/>
    <w:rsid w:val="00314ADF"/>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314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14ADF"/>
    <w:pPr>
      <w:ind w:left="720"/>
      <w:contextualSpacing/>
    </w:pPr>
  </w:style>
  <w:style w:type="paragraph" w:styleId="Tekstprzypisukocowego">
    <w:name w:val="endnote text"/>
    <w:basedOn w:val="Normalny"/>
    <w:link w:val="TekstprzypisukocowegoZnak"/>
    <w:uiPriority w:val="99"/>
    <w:semiHidden/>
    <w:unhideWhenUsed/>
    <w:rsid w:val="006C2CF9"/>
    <w:rPr>
      <w:sz w:val="20"/>
      <w:szCs w:val="20"/>
    </w:rPr>
  </w:style>
  <w:style w:type="character" w:customStyle="1" w:styleId="TekstprzypisukocowegoZnak">
    <w:name w:val="Tekst przypisu końcowego Znak"/>
    <w:basedOn w:val="Domylnaczcionkaakapitu"/>
    <w:link w:val="Tekstprzypisukocowego"/>
    <w:uiPriority w:val="99"/>
    <w:semiHidden/>
    <w:rsid w:val="006C2CF9"/>
    <w:rPr>
      <w:rFonts w:ascii="Arial" w:eastAsia="Arial" w:hAnsi="Arial" w:cs="Arial"/>
      <w:sz w:val="20"/>
      <w:szCs w:val="20"/>
      <w:lang w:val="en-US" w:bidi="en-US"/>
    </w:rPr>
  </w:style>
  <w:style w:type="character" w:styleId="Odwoanieprzypisukocowego">
    <w:name w:val="endnote reference"/>
    <w:basedOn w:val="Domylnaczcionkaakapitu"/>
    <w:uiPriority w:val="99"/>
    <w:semiHidden/>
    <w:unhideWhenUsed/>
    <w:rsid w:val="006C2CF9"/>
    <w:rPr>
      <w:vertAlign w:val="superscript"/>
    </w:rPr>
  </w:style>
  <w:style w:type="character" w:customStyle="1" w:styleId="Nagwek2Znak">
    <w:name w:val="Nagłówek 2 Znak"/>
    <w:basedOn w:val="Domylnaczcionkaakapitu"/>
    <w:link w:val="Nagwek2"/>
    <w:uiPriority w:val="9"/>
    <w:semiHidden/>
    <w:rsid w:val="00E3094D"/>
    <w:rPr>
      <w:rFonts w:asciiTheme="majorHAnsi" w:eastAsiaTheme="majorEastAsia" w:hAnsiTheme="majorHAnsi" w:cstheme="majorBidi"/>
      <w:color w:val="2E74B5" w:themeColor="accent1" w:themeShade="BF"/>
      <w:sz w:val="26"/>
      <w:szCs w:val="26"/>
      <w:lang w:val="en-US" w:bidi="en-US"/>
    </w:rPr>
  </w:style>
  <w:style w:type="character" w:styleId="Pogrubienie">
    <w:name w:val="Strong"/>
    <w:basedOn w:val="Domylnaczcionkaakapitu"/>
    <w:uiPriority w:val="22"/>
    <w:qFormat/>
    <w:rsid w:val="00E309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874672">
      <w:bodyDiv w:val="1"/>
      <w:marLeft w:val="0"/>
      <w:marRight w:val="0"/>
      <w:marTop w:val="0"/>
      <w:marBottom w:val="0"/>
      <w:divBdr>
        <w:top w:val="none" w:sz="0" w:space="0" w:color="auto"/>
        <w:left w:val="none" w:sz="0" w:space="0" w:color="auto"/>
        <w:bottom w:val="none" w:sz="0" w:space="0" w:color="auto"/>
        <w:right w:val="none" w:sz="0" w:space="0" w:color="auto"/>
      </w:divBdr>
    </w:div>
    <w:div w:id="1156188743">
      <w:bodyDiv w:val="1"/>
      <w:marLeft w:val="0"/>
      <w:marRight w:val="0"/>
      <w:marTop w:val="0"/>
      <w:marBottom w:val="0"/>
      <w:divBdr>
        <w:top w:val="none" w:sz="0" w:space="0" w:color="auto"/>
        <w:left w:val="none" w:sz="0" w:space="0" w:color="auto"/>
        <w:bottom w:val="none" w:sz="0" w:space="0" w:color="auto"/>
        <w:right w:val="none" w:sz="0" w:space="0" w:color="auto"/>
      </w:divBdr>
    </w:div>
    <w:div w:id="186393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ECCPoland"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ECCNET-PL@ec.europa.e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wojciech.szczerba\AppData\Local\Temp\konsument.gov.p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konsument.gov.pl/pl/news/752/100/ECC-Net-Travel---darmowa-aplikacja-na-wakacje.html" TargetMode="External"/><Relationship Id="rId4" Type="http://schemas.openxmlformats.org/officeDocument/2006/relationships/webSettings" Target="webSettings.xml"/><Relationship Id="rId9" Type="http://schemas.openxmlformats.org/officeDocument/2006/relationships/hyperlink" Target="https://www.facebook.com/EuropejskieCentrumKonsumenckie/" TargetMode="Externa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828</Words>
  <Characters>4972</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eck6</dc:creator>
  <cp:keywords/>
  <dc:description/>
  <cp:lastModifiedBy>eck6</cp:lastModifiedBy>
  <cp:revision>5</cp:revision>
  <dcterms:created xsi:type="dcterms:W3CDTF">2021-05-07T06:47:00Z</dcterms:created>
  <dcterms:modified xsi:type="dcterms:W3CDTF">2021-05-26T13:06:00Z</dcterms:modified>
</cp:coreProperties>
</file>